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9A" w:rsidRDefault="0035669A">
      <w:pPr>
        <w:spacing w:line="600" w:lineRule="exact"/>
        <w:jc w:val="center"/>
        <w:rPr>
          <w:rFonts w:ascii="方正小标宋_GBK" w:eastAsia="方正小标宋_GBK" w:hAnsi="方正小标宋_GBK" w:cs="方正小标宋_GBK"/>
          <w:sz w:val="44"/>
          <w:szCs w:val="44"/>
        </w:rPr>
      </w:pPr>
    </w:p>
    <w:p w:rsidR="0035669A" w:rsidRDefault="00F81519">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市财政局及各区、县（市）民政部门</w:t>
      </w:r>
    </w:p>
    <w:p w:rsidR="0035669A" w:rsidRDefault="00F81519">
      <w:pPr>
        <w:spacing w:line="600" w:lineRule="exact"/>
        <w:jc w:val="center"/>
        <w:rPr>
          <w:rFonts w:ascii="黑体" w:eastAsia="黑体" w:hAnsi="黑体" w:cs="黑体"/>
          <w:sz w:val="32"/>
          <w:szCs w:val="32"/>
        </w:rPr>
      </w:pPr>
      <w:r>
        <w:rPr>
          <w:rFonts w:ascii="方正小标宋_GBK" w:eastAsia="方正小标宋_GBK" w:hAnsi="方正小标宋_GBK" w:cs="方正小标宋_GBK" w:hint="eastAsia"/>
          <w:sz w:val="44"/>
          <w:szCs w:val="44"/>
        </w:rPr>
        <w:t>征求意见采纳情况</w:t>
      </w:r>
    </w:p>
    <w:p w:rsidR="0035669A" w:rsidRDefault="0035669A"/>
    <w:tbl>
      <w:tblPr>
        <w:tblW w:w="9877" w:type="dxa"/>
        <w:jc w:val="center"/>
        <w:tblLayout w:type="fixed"/>
        <w:tblCellMar>
          <w:left w:w="0" w:type="dxa"/>
          <w:right w:w="0" w:type="dxa"/>
        </w:tblCellMar>
        <w:tblLook w:val="04A0" w:firstRow="1" w:lastRow="0" w:firstColumn="1" w:lastColumn="0" w:noHBand="0" w:noVBand="1"/>
      </w:tblPr>
      <w:tblGrid>
        <w:gridCol w:w="778"/>
        <w:gridCol w:w="1772"/>
        <w:gridCol w:w="5775"/>
        <w:gridCol w:w="1552"/>
      </w:tblGrid>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黑体" w:eastAsia="黑体" w:hAnsi="宋体" w:cs="黑体"/>
                <w:sz w:val="28"/>
                <w:szCs w:val="28"/>
              </w:rPr>
            </w:pPr>
            <w:r>
              <w:rPr>
                <w:rFonts w:ascii="黑体" w:eastAsia="黑体" w:hAnsi="宋体" w:cs="黑体" w:hint="eastAsia"/>
                <w:kern w:val="0"/>
                <w:sz w:val="28"/>
                <w:szCs w:val="28"/>
                <w:lang w:bidi="ar"/>
              </w:rPr>
              <w:t>序号</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黑体" w:eastAsia="黑体" w:hAnsi="宋体" w:cs="黑体"/>
                <w:sz w:val="28"/>
                <w:szCs w:val="28"/>
              </w:rPr>
            </w:pPr>
            <w:r>
              <w:rPr>
                <w:rFonts w:ascii="黑体" w:eastAsia="黑体" w:hAnsi="宋体" w:cs="黑体" w:hint="eastAsia"/>
                <w:kern w:val="0"/>
                <w:sz w:val="28"/>
                <w:szCs w:val="28"/>
                <w:lang w:bidi="ar"/>
              </w:rPr>
              <w:t>单位</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widowControl/>
              <w:spacing w:line="480" w:lineRule="exact"/>
              <w:jc w:val="center"/>
              <w:textAlignment w:val="center"/>
              <w:rPr>
                <w:rFonts w:ascii="黑体" w:eastAsia="黑体" w:hAnsi="宋体" w:cs="黑体"/>
                <w:sz w:val="28"/>
                <w:szCs w:val="28"/>
              </w:rPr>
            </w:pPr>
            <w:r>
              <w:rPr>
                <w:rFonts w:ascii="黑体" w:eastAsia="黑体" w:hAnsi="宋体" w:cs="黑体" w:hint="eastAsia"/>
                <w:kern w:val="0"/>
                <w:sz w:val="28"/>
                <w:szCs w:val="28"/>
                <w:lang w:bidi="ar"/>
              </w:rPr>
              <w:t>意见汇总</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黑体" w:eastAsia="黑体" w:hAnsi="宋体" w:cs="黑体"/>
                <w:sz w:val="28"/>
                <w:szCs w:val="28"/>
              </w:rPr>
            </w:pPr>
            <w:r>
              <w:rPr>
                <w:rFonts w:ascii="黑体" w:eastAsia="黑体" w:hAnsi="宋体" w:cs="黑体" w:hint="eastAsia"/>
                <w:kern w:val="0"/>
                <w:sz w:val="28"/>
                <w:szCs w:val="28"/>
                <w:lang w:bidi="ar"/>
              </w:rPr>
              <w:t>采纳情况</w:t>
            </w: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kern w:val="0"/>
                <w:sz w:val="28"/>
                <w:szCs w:val="28"/>
                <w:lang w:bidi="ar"/>
              </w:rPr>
              <w:t>1</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市财政局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2</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上城区民政局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第三章申请程序中第十条入住和费用结算，建议“按月与老年人户籍所在地的区民政局进行结算”修改为“按月与定点养老服务机构所在地的区民政局进行结算”。</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90407D" w:rsidP="00DF3873">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不予采纳。</w:t>
            </w:r>
            <w:r w:rsidR="00DF3873">
              <w:rPr>
                <w:rFonts w:ascii="仿宋_GB2312" w:eastAsia="仿宋_GB2312" w:hAnsi="仿宋_GB2312" w:cs="仿宋_GB2312" w:hint="eastAsia"/>
                <w:sz w:val="28"/>
                <w:szCs w:val="28"/>
              </w:rPr>
              <w:t>理由：</w:t>
            </w:r>
            <w:r>
              <w:rPr>
                <w:rFonts w:ascii="仿宋_GB2312" w:eastAsia="仿宋_GB2312" w:hAnsi="仿宋_GB2312" w:cs="仿宋_GB2312" w:hint="eastAsia"/>
                <w:sz w:val="28"/>
                <w:szCs w:val="28"/>
              </w:rPr>
              <w:t>该补贴对象为符合条件的老年人，应由户籍</w:t>
            </w:r>
            <w:r w:rsidR="00DF3873">
              <w:rPr>
                <w:rFonts w:ascii="仿宋_GB2312" w:eastAsia="仿宋_GB2312" w:hAnsi="仿宋_GB2312" w:cs="仿宋_GB2312" w:hint="eastAsia"/>
                <w:sz w:val="28"/>
                <w:szCs w:val="28"/>
              </w:rPr>
              <w:t>所在</w:t>
            </w:r>
            <w:r>
              <w:rPr>
                <w:rFonts w:ascii="仿宋_GB2312" w:eastAsia="仿宋_GB2312" w:hAnsi="仿宋_GB2312" w:cs="仿宋_GB2312" w:hint="eastAsia"/>
                <w:sz w:val="28"/>
                <w:szCs w:val="28"/>
              </w:rPr>
              <w:t>地承担。</w:t>
            </w: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3</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下城区民政局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4</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江干区民政局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sz w:val="28"/>
                <w:szCs w:val="28"/>
              </w:rPr>
              <w:t>办法中：</w:t>
            </w:r>
            <w:r>
              <w:rPr>
                <w:rFonts w:ascii="仿宋_GB2312" w:eastAsia="仿宋_GB2312" w:hAnsi="仿宋_GB2312" w:cs="仿宋_GB2312"/>
                <w:sz w:val="28"/>
                <w:szCs w:val="28"/>
              </w:rPr>
              <w:t>“</w:t>
            </w:r>
            <w:r>
              <w:rPr>
                <w:rFonts w:ascii="仿宋_GB2312" w:eastAsia="仿宋_GB2312" w:hAnsi="仿宋_GB2312" w:cs="仿宋_GB2312"/>
                <w:sz w:val="28"/>
                <w:szCs w:val="28"/>
              </w:rPr>
              <w:t>第十条</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区民政局审核通过后，应当与养老服务机构签订服务协议，并对外公布定点养老服务机构名单。经老年人或其监护人确认，定点养老服务机构应当将机构护理补贴在收缴入住费用时先于抵扣，并按月与老年人户籍所在地的区民政局进行结算。</w:t>
            </w:r>
          </w:p>
          <w:p w:rsidR="0035669A" w:rsidRDefault="00F81519">
            <w:pPr>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rPr>
              <w:t>第十一条</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市、区两级民政部门应当强化日常监管，将定点养老服务机构和享受护理补贴老年人纳入统一的监管平台进行管理。</w:t>
            </w:r>
            <w:r>
              <w:rPr>
                <w:rFonts w:ascii="仿宋_GB2312" w:eastAsia="仿宋_GB2312" w:hAnsi="仿宋_GB2312" w:cs="仿宋_GB2312"/>
                <w:sz w:val="28"/>
                <w:szCs w:val="28"/>
              </w:rPr>
              <w:t>”</w:t>
            </w:r>
          </w:p>
          <w:p w:rsidR="0035669A" w:rsidRDefault="00F81519">
            <w:pPr>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rPr>
              <w:t>建议：考虑到有老人跨区入住养老服务机构，建议由市局统一公布和更新全市定点养老机构名库，市局统一建立监管平台纳入各区信息，便于各区能了解与掌握老人入住的他区养老服务机</w:t>
            </w:r>
            <w:r>
              <w:rPr>
                <w:rFonts w:ascii="仿宋_GB2312" w:eastAsia="仿宋_GB2312" w:hAnsi="仿宋_GB2312" w:cs="仿宋_GB2312"/>
                <w:sz w:val="28"/>
                <w:szCs w:val="28"/>
              </w:rPr>
              <w:lastRenderedPageBreak/>
              <w:t>构是否为定点机构</w:t>
            </w:r>
            <w:r>
              <w:rPr>
                <w:rFonts w:ascii="仿宋_GB2312" w:eastAsia="仿宋_GB2312" w:hAnsi="仿宋_GB2312" w:cs="仿宋_GB2312"/>
                <w:sz w:val="28"/>
                <w:szCs w:val="28"/>
              </w:rPr>
              <w:t>，是否可对其进行补贴结算。</w:t>
            </w:r>
          </w:p>
          <w:p w:rsidR="0035669A" w:rsidRDefault="00F81519">
            <w:pPr>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sz w:val="28"/>
                <w:szCs w:val="28"/>
              </w:rPr>
              <w:t>办法中：</w:t>
            </w:r>
            <w:r>
              <w:rPr>
                <w:rFonts w:ascii="仿宋_GB2312" w:eastAsia="仿宋_GB2312" w:hAnsi="仿宋_GB2312" w:cs="仿宋_GB2312"/>
                <w:sz w:val="28"/>
                <w:szCs w:val="28"/>
              </w:rPr>
              <w:t>“</w:t>
            </w:r>
            <w:r>
              <w:rPr>
                <w:rFonts w:ascii="仿宋_GB2312" w:eastAsia="仿宋_GB2312" w:hAnsi="仿宋_GB2312" w:cs="仿宋_GB2312"/>
                <w:sz w:val="28"/>
                <w:szCs w:val="28"/>
              </w:rPr>
              <w:t>第十二条</w:t>
            </w:r>
            <w:r>
              <w:rPr>
                <w:rFonts w:ascii="仿宋_GB2312" w:eastAsia="仿宋_GB2312" w:hAnsi="仿宋_GB2312" w:cs="仿宋_GB2312"/>
                <w:sz w:val="28"/>
                <w:szCs w:val="28"/>
              </w:rPr>
              <w:t xml:space="preserve">  </w:t>
            </w:r>
            <w:r>
              <w:rPr>
                <w:rFonts w:ascii="仿宋_GB2312" w:eastAsia="仿宋_GB2312" w:hAnsi="仿宋_GB2312" w:cs="仿宋_GB2312"/>
                <w:sz w:val="28"/>
                <w:szCs w:val="28"/>
              </w:rPr>
              <w:t>建立护理补贴待遇定期复查机制，每年对享受护理补贴待遇的人员进行复查，不符合补贴条件的，不再享受护理补贴。</w:t>
            </w:r>
            <w:r>
              <w:rPr>
                <w:rFonts w:ascii="仿宋_GB2312" w:eastAsia="仿宋_GB2312" w:hAnsi="仿宋_GB2312" w:cs="仿宋_GB2312"/>
                <w:sz w:val="28"/>
                <w:szCs w:val="28"/>
              </w:rPr>
              <w:t>”</w:t>
            </w:r>
          </w:p>
          <w:p w:rsidR="0035669A" w:rsidRDefault="00F81519">
            <w:pPr>
              <w:spacing w:line="480" w:lineRule="exact"/>
              <w:rPr>
                <w:rFonts w:ascii="仿宋_GB2312" w:eastAsia="仿宋_GB2312" w:hAnsi="仿宋_GB2312" w:cs="仿宋_GB2312"/>
                <w:sz w:val="28"/>
                <w:szCs w:val="28"/>
              </w:rPr>
            </w:pPr>
            <w:r>
              <w:rPr>
                <w:rFonts w:ascii="仿宋_GB2312" w:eastAsia="仿宋_GB2312" w:hAnsi="仿宋_GB2312" w:cs="仿宋_GB2312"/>
                <w:sz w:val="28"/>
                <w:szCs w:val="28"/>
              </w:rPr>
              <w:t>建议：考虑到老人身体、经济状况变化，更换入住养老机构，与特困残联补贴交叉等情况，每年进行复查周期较长，是否适当缩短复查时间。</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不予采纳</w:t>
            </w:r>
            <w:r w:rsidR="0090407D">
              <w:rPr>
                <w:rFonts w:ascii="仿宋_GB2312" w:eastAsia="仿宋_GB2312" w:hAnsi="仿宋_GB2312" w:cs="仿宋_GB2312" w:hint="eastAsia"/>
                <w:sz w:val="28"/>
                <w:szCs w:val="28"/>
              </w:rPr>
              <w:t>。理由：1、</w:t>
            </w:r>
            <w:r w:rsidR="00DF3873">
              <w:rPr>
                <w:rFonts w:ascii="仿宋_GB2312" w:eastAsia="仿宋_GB2312" w:hAnsi="仿宋_GB2312" w:cs="仿宋_GB2312" w:hint="eastAsia"/>
                <w:sz w:val="28"/>
                <w:szCs w:val="28"/>
              </w:rPr>
              <w:t>养老服务机构日常备案及管理主要由各区负责。2、办法已明确“</w:t>
            </w:r>
            <w:r w:rsidR="00DF3873" w:rsidRPr="00DF3873">
              <w:rPr>
                <w:rFonts w:ascii="仿宋_GB2312" w:eastAsia="仿宋_GB2312" w:hAnsi="仿宋_GB2312" w:cs="仿宋_GB2312" w:hint="eastAsia"/>
                <w:sz w:val="28"/>
                <w:szCs w:val="28"/>
              </w:rPr>
              <w:t>特殊情况需要复查的，应当及时复查。</w:t>
            </w:r>
            <w:r w:rsidR="00DF3873">
              <w:rPr>
                <w:rFonts w:ascii="仿宋_GB2312" w:eastAsia="仿宋_GB2312" w:hAnsi="仿宋_GB2312" w:cs="仿宋_GB2312" w:hint="eastAsia"/>
                <w:sz w:val="28"/>
                <w:szCs w:val="28"/>
              </w:rPr>
              <w:t>”</w:t>
            </w: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lastRenderedPageBreak/>
              <w:t>5</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拱</w:t>
            </w:r>
            <w:proofErr w:type="gramStart"/>
            <w:r>
              <w:rPr>
                <w:rFonts w:ascii="仿宋_GB2312" w:eastAsia="仿宋_GB2312" w:hAnsi="仿宋_GB2312" w:cs="仿宋_GB2312" w:hint="eastAsia"/>
                <w:kern w:val="0"/>
                <w:sz w:val="28"/>
                <w:szCs w:val="28"/>
                <w:lang w:bidi="ar"/>
              </w:rPr>
              <w:t>墅</w:t>
            </w:r>
            <w:proofErr w:type="gramEnd"/>
            <w:r>
              <w:rPr>
                <w:rFonts w:ascii="仿宋_GB2312" w:eastAsia="仿宋_GB2312" w:hAnsi="仿宋_GB2312" w:cs="仿宋_GB2312" w:hint="eastAsia"/>
                <w:kern w:val="0"/>
                <w:sz w:val="28"/>
                <w:szCs w:val="28"/>
                <w:lang w:bidi="ar"/>
              </w:rPr>
              <w:t>区民政局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6</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西湖区民政局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建议明确市区两级资金比例</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006F3" w:rsidRDefault="00F81519" w:rsidP="00C006F3">
            <w:pPr>
              <w:spacing w:line="480" w:lineRule="exact"/>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不予采纳</w:t>
            </w:r>
          </w:p>
          <w:p w:rsidR="0035669A" w:rsidRDefault="00C006F3" w:rsidP="00F81519">
            <w:pPr>
              <w:spacing w:line="480" w:lineRule="exac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理由：经</w:t>
            </w:r>
            <w:r w:rsidR="00F81519">
              <w:rPr>
                <w:rFonts w:ascii="仿宋_GB2312" w:eastAsia="仿宋_GB2312" w:hAnsi="仿宋_GB2312" w:cs="仿宋_GB2312" w:hint="eastAsia"/>
                <w:sz w:val="28"/>
                <w:szCs w:val="28"/>
              </w:rPr>
              <w:t>与</w:t>
            </w:r>
            <w:r>
              <w:rPr>
                <w:rFonts w:ascii="仿宋_GB2312" w:eastAsia="仿宋_GB2312" w:hAnsi="仿宋_GB2312" w:cs="仿宋_GB2312" w:hint="eastAsia"/>
                <w:sz w:val="28"/>
                <w:szCs w:val="28"/>
              </w:rPr>
              <w:t>市财政</w:t>
            </w:r>
            <w:r w:rsidR="00F81519">
              <w:rPr>
                <w:rFonts w:ascii="仿宋_GB2312" w:eastAsia="仿宋_GB2312" w:hAnsi="仿宋_GB2312" w:cs="仿宋_GB2312" w:hint="eastAsia"/>
                <w:sz w:val="28"/>
                <w:szCs w:val="28"/>
              </w:rPr>
              <w:t>对接</w:t>
            </w:r>
            <w:bookmarkStart w:id="0" w:name="_GoBack"/>
            <w:bookmarkEnd w:id="0"/>
            <w:r>
              <w:rPr>
                <w:rFonts w:ascii="仿宋_GB2312" w:eastAsia="仿宋_GB2312" w:hAnsi="仿宋_GB2312" w:cs="仿宋_GB2312" w:hint="eastAsia"/>
                <w:sz w:val="28"/>
                <w:szCs w:val="28"/>
              </w:rPr>
              <w:t>，</w:t>
            </w:r>
            <w:r w:rsidR="00F81519">
              <w:rPr>
                <w:rFonts w:ascii="仿宋_GB2312" w:eastAsia="仿宋_GB2312" w:hAnsi="仿宋_GB2312" w:cs="仿宋_GB2312" w:hint="eastAsia"/>
                <w:sz w:val="28"/>
                <w:szCs w:val="28"/>
              </w:rPr>
              <w:t>市区两级资金比例</w:t>
            </w:r>
            <w:r>
              <w:rPr>
                <w:rFonts w:ascii="仿宋_GB2312" w:eastAsia="仿宋_GB2312" w:hAnsi="仿宋_GB2312" w:cs="仿宋_GB2312" w:hint="eastAsia"/>
                <w:sz w:val="28"/>
                <w:szCs w:val="28"/>
              </w:rPr>
              <w:t>无法明确。</w:t>
            </w:r>
          </w:p>
        </w:tc>
      </w:tr>
      <w:tr w:rsidR="0035669A">
        <w:trPr>
          <w:trHeight w:val="659"/>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7</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滨江区民政局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8</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proofErr w:type="gramStart"/>
            <w:r>
              <w:rPr>
                <w:rFonts w:ascii="仿宋_GB2312" w:eastAsia="仿宋_GB2312" w:hAnsi="仿宋_GB2312" w:cs="仿宋_GB2312" w:hint="eastAsia"/>
                <w:kern w:val="0"/>
                <w:sz w:val="28"/>
                <w:szCs w:val="28"/>
                <w:lang w:bidi="ar"/>
              </w:rPr>
              <w:t>萧山区</w:t>
            </w:r>
            <w:proofErr w:type="gramEnd"/>
            <w:r>
              <w:rPr>
                <w:rFonts w:ascii="仿宋_GB2312" w:eastAsia="仿宋_GB2312" w:hAnsi="仿宋_GB2312" w:cs="仿宋_GB2312" w:hint="eastAsia"/>
                <w:kern w:val="0"/>
                <w:sz w:val="28"/>
                <w:szCs w:val="28"/>
                <w:lang w:bidi="ar"/>
              </w:rPr>
              <w:t>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9</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余杭区民政局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10</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富阳区民政局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建议护理补贴</w:t>
            </w:r>
            <w:r>
              <w:rPr>
                <w:rFonts w:ascii="仿宋_GB2312" w:eastAsia="仿宋_GB2312" w:hAnsi="仿宋_GB2312" w:cs="仿宋_GB2312" w:hint="eastAsia"/>
                <w:sz w:val="28"/>
                <w:szCs w:val="28"/>
              </w:rPr>
              <w:t>对象增加</w:t>
            </w:r>
            <w:r>
              <w:rPr>
                <w:rFonts w:ascii="仿宋_GB2312" w:eastAsia="仿宋_GB2312" w:hAnsi="仿宋_GB2312" w:cs="仿宋_GB2312" w:hint="eastAsia"/>
                <w:sz w:val="28"/>
                <w:szCs w:val="28"/>
              </w:rPr>
              <w:t>80</w:t>
            </w:r>
            <w:r>
              <w:rPr>
                <w:rFonts w:ascii="仿宋_GB2312" w:eastAsia="仿宋_GB2312" w:hAnsi="仿宋_GB2312" w:cs="仿宋_GB2312" w:hint="eastAsia"/>
                <w:sz w:val="28"/>
                <w:szCs w:val="28"/>
              </w:rPr>
              <w:t>周岁以上自理老人，标准为</w:t>
            </w:r>
            <w:r>
              <w:rPr>
                <w:rFonts w:ascii="仿宋_GB2312" w:eastAsia="仿宋_GB2312" w:hAnsi="仿宋_GB2312" w:cs="仿宋_GB2312" w:hint="eastAsia"/>
                <w:sz w:val="28"/>
                <w:szCs w:val="28"/>
              </w:rPr>
              <w:t>200</w:t>
            </w:r>
            <w:r>
              <w:rPr>
                <w:rFonts w:ascii="仿宋_GB2312" w:eastAsia="仿宋_GB2312" w:hAnsi="仿宋_GB2312" w:cs="仿宋_GB2312" w:hint="eastAsia"/>
                <w:sz w:val="28"/>
                <w:szCs w:val="28"/>
              </w:rPr>
              <w:t>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月。</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rsidP="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不予采纳</w:t>
            </w:r>
            <w:r w:rsidR="0090407D">
              <w:rPr>
                <w:rFonts w:ascii="仿宋_GB2312" w:eastAsia="仿宋_GB2312" w:hAnsi="仿宋_GB2312" w:cs="仿宋_GB2312" w:hint="eastAsia"/>
                <w:sz w:val="28"/>
                <w:szCs w:val="28"/>
              </w:rPr>
              <w:t>。</w:t>
            </w:r>
            <w:r w:rsidR="00DF3873">
              <w:rPr>
                <w:rFonts w:ascii="仿宋_GB2312" w:eastAsia="仿宋_GB2312" w:hAnsi="仿宋_GB2312" w:cs="仿宋_GB2312" w:hint="eastAsia"/>
                <w:sz w:val="28"/>
                <w:szCs w:val="28"/>
              </w:rPr>
              <w:t>理由：综合</w:t>
            </w:r>
            <w:r>
              <w:rPr>
                <w:rFonts w:ascii="仿宋_GB2312" w:eastAsia="仿宋_GB2312" w:hAnsi="仿宋_GB2312" w:cs="仿宋_GB2312" w:hint="eastAsia"/>
                <w:sz w:val="28"/>
                <w:szCs w:val="28"/>
              </w:rPr>
              <w:t>养老服务电子津贴等政策，经与市财政对接，该补贴对象不含</w:t>
            </w:r>
            <w:r>
              <w:rPr>
                <w:rFonts w:ascii="仿宋_GB2312" w:eastAsia="仿宋_GB2312" w:hAnsi="仿宋_GB2312" w:cs="仿宋_GB2312" w:hint="eastAsia"/>
                <w:sz w:val="28"/>
                <w:szCs w:val="28"/>
              </w:rPr>
              <w:t>80周岁以上自理老人</w:t>
            </w:r>
            <w:r>
              <w:rPr>
                <w:rFonts w:ascii="仿宋_GB2312" w:eastAsia="仿宋_GB2312" w:hAnsi="仿宋_GB2312" w:cs="仿宋_GB2312" w:hint="eastAsia"/>
                <w:sz w:val="28"/>
                <w:szCs w:val="28"/>
              </w:rPr>
              <w:t>。</w:t>
            </w: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lastRenderedPageBreak/>
              <w:t>11</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临安区民政局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其他区、县（市）可参照本办法并结合本地实际，制定相关实施办法。”修改为“其他区、县（市）可参照本办法或结合本地实际，制定相关实施办法。”</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90407D">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已</w:t>
            </w:r>
            <w:r w:rsidR="00F81519">
              <w:rPr>
                <w:rFonts w:ascii="仿宋_GB2312" w:eastAsia="仿宋_GB2312" w:hAnsi="仿宋_GB2312" w:cs="仿宋_GB2312" w:hint="eastAsia"/>
                <w:sz w:val="28"/>
                <w:szCs w:val="28"/>
              </w:rPr>
              <w:t>采纳</w:t>
            </w: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12</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桐庐县民政局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13</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淳安县民政局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14</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建德市民政局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7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15</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钱塘新区</w:t>
            </w:r>
          </w:p>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社发局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r w:rsidR="0035669A">
        <w:trPr>
          <w:trHeight w:val="683"/>
          <w:jc w:val="center"/>
        </w:trPr>
        <w:tc>
          <w:tcPr>
            <w:tcW w:w="77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16</w:t>
            </w:r>
          </w:p>
        </w:tc>
        <w:tc>
          <w:tcPr>
            <w:tcW w:w="177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风景名胜区</w:t>
            </w:r>
          </w:p>
          <w:p w:rsidR="0035669A" w:rsidRDefault="00F81519">
            <w:pPr>
              <w:widowControl/>
              <w:spacing w:line="480" w:lineRule="exact"/>
              <w:jc w:val="center"/>
              <w:textAlignment w:val="center"/>
              <w:rPr>
                <w:rFonts w:ascii="仿宋_GB2312" w:eastAsia="仿宋_GB2312" w:hAnsi="仿宋_GB2312" w:cs="仿宋_GB2312"/>
                <w:kern w:val="0"/>
                <w:sz w:val="28"/>
                <w:szCs w:val="28"/>
                <w:lang w:bidi="ar"/>
              </w:rPr>
            </w:pPr>
            <w:r>
              <w:rPr>
                <w:rFonts w:ascii="仿宋_GB2312" w:eastAsia="仿宋_GB2312" w:hAnsi="仿宋_GB2312" w:cs="仿宋_GB2312" w:hint="eastAsia"/>
                <w:kern w:val="0"/>
                <w:sz w:val="28"/>
                <w:szCs w:val="28"/>
                <w:lang w:bidi="ar"/>
              </w:rPr>
              <w:t>社发局</w:t>
            </w:r>
          </w:p>
        </w:tc>
        <w:tc>
          <w:tcPr>
            <w:tcW w:w="5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35669A" w:rsidRDefault="00F81519">
            <w:pPr>
              <w:spacing w:line="4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无意见</w:t>
            </w:r>
          </w:p>
        </w:tc>
        <w:tc>
          <w:tcPr>
            <w:tcW w:w="155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35669A" w:rsidRDefault="0035669A">
            <w:pPr>
              <w:spacing w:line="480" w:lineRule="exact"/>
              <w:jc w:val="center"/>
              <w:rPr>
                <w:rFonts w:ascii="仿宋_GB2312" w:eastAsia="仿宋_GB2312" w:hAnsi="仿宋_GB2312" w:cs="仿宋_GB2312"/>
                <w:sz w:val="28"/>
                <w:szCs w:val="28"/>
              </w:rPr>
            </w:pPr>
          </w:p>
        </w:tc>
      </w:tr>
    </w:tbl>
    <w:p w:rsidR="0035669A" w:rsidRDefault="0035669A"/>
    <w:sectPr w:rsidR="003566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fontKey="{49F18DF1-45AC-4FC7-BD3E-900268C55FB0}"/>
  </w:font>
  <w:font w:name="方正小标宋_GBK">
    <w:charset w:val="86"/>
    <w:family w:val="script"/>
    <w:pitch w:val="default"/>
    <w:sig w:usb0="00000001" w:usb1="080E0000" w:usb2="00000000" w:usb3="00000000" w:csb0="00040000" w:csb1="00000000"/>
    <w:embedRegular r:id="rId2" w:subsetted="1" w:fontKey="{E7A36591-9412-47A9-81BC-67F0F0B0F86C}"/>
  </w:font>
  <w:font w:name="黑体">
    <w:altName w:val="SimHei"/>
    <w:panose1 w:val="02010609060101010101"/>
    <w:charset w:val="86"/>
    <w:family w:val="modern"/>
    <w:pitch w:val="fixed"/>
    <w:sig w:usb0="800002BF" w:usb1="38CF7CFA" w:usb2="00000016" w:usb3="00000000" w:csb0="00040001" w:csb1="00000000"/>
    <w:embedRegular r:id="rId3" w:subsetted="1" w:fontKey="{8B023031-D9BA-41B2-8528-B968C45099F4}"/>
  </w:font>
  <w:font w:name="仿宋_GB2312">
    <w:panose1 w:val="02010609030101010101"/>
    <w:charset w:val="86"/>
    <w:family w:val="modern"/>
    <w:pitch w:val="fixed"/>
    <w:sig w:usb0="00000001" w:usb1="080E0000" w:usb2="00000010" w:usb3="00000000" w:csb0="00040000" w:csb1="00000000"/>
    <w:embedRegular r:id="rId4" w:subsetted="1" w:fontKey="{91745261-9D25-4B67-9606-5BB4CF7B144B}"/>
  </w:font>
  <w:font w:name="Calibri Light">
    <w:panose1 w:val="020F0302020204030204"/>
    <w:charset w:val="00"/>
    <w:family w:val="swiss"/>
    <w:pitch w:val="variable"/>
    <w:sig w:usb0="A00002EF" w:usb1="4000207B" w:usb2="00000000" w:usb3="00000000" w:csb0="0000019F" w:csb1="00000000"/>
    <w:embedRegular r:id="rId5" w:fontKey="{195AB4BA-D250-4B77-8ADA-B24D1839405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FC09B1"/>
    <w:rsid w:val="0035669A"/>
    <w:rsid w:val="0090407D"/>
    <w:rsid w:val="00C006F3"/>
    <w:rsid w:val="00DF3873"/>
    <w:rsid w:val="00F81519"/>
    <w:rsid w:val="18BE34FD"/>
    <w:rsid w:val="1F8A172D"/>
    <w:rsid w:val="3AFC0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156</Words>
  <Characters>890</Characters>
  <Application>Microsoft Office Word</Application>
  <DocSecurity>0</DocSecurity>
  <Lines>7</Lines>
  <Paragraphs>2</Paragraphs>
  <ScaleCrop>false</ScaleCrop>
  <Company>hz</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郦丽</dc:creator>
  <cp:lastModifiedBy>刘国辉</cp:lastModifiedBy>
  <cp:revision>2</cp:revision>
  <cp:lastPrinted>2021-02-18T03:27:00Z</cp:lastPrinted>
  <dcterms:created xsi:type="dcterms:W3CDTF">2021-02-18T02:59:00Z</dcterms:created>
  <dcterms:modified xsi:type="dcterms:W3CDTF">2021-04-30T03:35:00Z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344950682_embed</vt:lpwstr>
  </property>
</Properties>
</file>